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15" w:rsidRDefault="00AA3115" w:rsidP="00AA3115">
      <w:pPr>
        <w:pStyle w:val="normal0"/>
        <w:contextualSpacing w:val="0"/>
        <w:jc w:val="center"/>
      </w:pPr>
      <w:bookmarkStart w:id="0" w:name="_GoBack"/>
      <w:bookmarkEnd w:id="0"/>
      <w:r>
        <w:rPr>
          <w:rFonts w:ascii="Architects Daughter" w:eastAsia="Architects Daughter" w:hAnsi="Architects Daughter" w:cs="Architects Daughter"/>
          <w:b/>
          <w:sz w:val="36"/>
          <w:szCs w:val="36"/>
        </w:rPr>
        <w:t>Article of the Week (</w:t>
      </w:r>
      <w:proofErr w:type="spellStart"/>
      <w:r>
        <w:rPr>
          <w:rFonts w:ascii="Architects Daughter" w:eastAsia="Architects Daughter" w:hAnsi="Architects Daughter" w:cs="Architects Daughter"/>
          <w:b/>
          <w:sz w:val="36"/>
          <w:szCs w:val="36"/>
        </w:rPr>
        <w:t>AoW</w:t>
      </w:r>
      <w:proofErr w:type="spellEnd"/>
      <w:r>
        <w:rPr>
          <w:rFonts w:ascii="Architects Daughter" w:eastAsia="Architects Daughter" w:hAnsi="Architects Daughter" w:cs="Architects Daughter"/>
          <w:b/>
          <w:sz w:val="36"/>
          <w:szCs w:val="36"/>
        </w:rPr>
        <w:t>)</w:t>
      </w:r>
    </w:p>
    <w:p w:rsidR="00AA3115" w:rsidRDefault="00AA3115" w:rsidP="00AA3115">
      <w:pPr>
        <w:pStyle w:val="normal0"/>
        <w:contextualSpacing w:val="0"/>
      </w:pP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  <w:r>
        <w:t xml:space="preserve">Research clearly shows that the best way to become a better reader and to learn to analyze texts is to… READ! No kidding. So we’re going to read widely – which means a variety of text, every week, on your own time. No complaining! You will not receive very much homework in my class. However, you will have one article to </w:t>
      </w:r>
      <w:r>
        <w:rPr>
          <w:u w:val="single"/>
        </w:rPr>
        <w:t>read</w:t>
      </w:r>
      <w:r>
        <w:t xml:space="preserve">, </w:t>
      </w:r>
      <w:r>
        <w:rPr>
          <w:u w:val="single"/>
        </w:rPr>
        <w:t>annotate</w:t>
      </w:r>
      <w:r>
        <w:t xml:space="preserve">, and </w:t>
      </w:r>
      <w:r>
        <w:rPr>
          <w:u w:val="single"/>
        </w:rPr>
        <w:t>respond</w:t>
      </w:r>
      <w:r w:rsidR="00AF6F52">
        <w:t xml:space="preserve"> to.</w:t>
      </w: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b/>
          <w:u w:val="single"/>
        </w:rPr>
        <w:t>How it Works</w:t>
      </w:r>
    </w:p>
    <w:p w:rsidR="00AA3115" w:rsidRDefault="00187DA2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  <w:r>
        <w:t xml:space="preserve">On </w:t>
      </w:r>
      <w:r w:rsidR="00AA3115">
        <w:t xml:space="preserve">Monday you will receive a printed Article of the Week. You are responsible for reading and interacting with the article on your own time, then turning it in at the beginning of class </w:t>
      </w:r>
      <w:r>
        <w:t xml:space="preserve">the following Monday. </w:t>
      </w:r>
      <w:r w:rsidR="00AA3115">
        <w:t>You will receive one of four grades:</w:t>
      </w:r>
    </w:p>
    <w:p w:rsidR="00AA3115" w:rsidRDefault="00AA3115" w:rsidP="00AA3115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t>20 for a job well done (full credit)</w:t>
      </w:r>
    </w:p>
    <w:p w:rsidR="00AA3115" w:rsidRDefault="00AA3115" w:rsidP="00AA3115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t>15 for an average job</w:t>
      </w:r>
    </w:p>
    <w:p w:rsidR="00AA3115" w:rsidRDefault="00AA3115" w:rsidP="00AA3115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t>10 for an incomplete job</w:t>
      </w:r>
    </w:p>
    <w:p w:rsidR="00AA3115" w:rsidRDefault="00AA3115" w:rsidP="00AA3115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t>0 for missing work</w:t>
      </w: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  <w:r>
        <w:t xml:space="preserve">This is the </w:t>
      </w:r>
      <w:r>
        <w:rPr>
          <w:b/>
        </w:rPr>
        <w:t>only</w:t>
      </w:r>
      <w:r>
        <w:t xml:space="preserve"> assignment that I will not accept late. Each </w:t>
      </w:r>
      <w:proofErr w:type="spellStart"/>
      <w:r>
        <w:t>AoW</w:t>
      </w:r>
      <w:proofErr w:type="spellEnd"/>
      <w:r>
        <w:t xml:space="preserve"> is a new opportunity to get full credit. </w:t>
      </w: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b/>
          <w:u w:val="single"/>
        </w:rPr>
        <w:t>What to Do</w:t>
      </w: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  <w:r>
        <w:t>You’re going to start by just reading the article - probably 2-3 times. You can do it!</w:t>
      </w: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</w:p>
    <w:p w:rsidR="00AA3115" w:rsidRDefault="00AA3115" w:rsidP="00AA3115">
      <w:pPr>
        <w:pStyle w:val="normal0"/>
        <w:numPr>
          <w:ilvl w:val="0"/>
          <w:numId w:val="4"/>
        </w:numPr>
        <w:ind w:left="300" w:hanging="360"/>
        <w:rPr>
          <w:rFonts w:ascii="Arial" w:eastAsia="Arial" w:hAnsi="Arial" w:cs="Arial"/>
        </w:rPr>
      </w:pPr>
      <w:r>
        <w:t>Step 1: Close Read - read with a pencil and a highlighter in hand and annotate the text</w:t>
      </w:r>
    </w:p>
    <w:p w:rsidR="00AA3115" w:rsidRDefault="00AA3115" w:rsidP="00AA3115">
      <w:pPr>
        <w:pStyle w:val="normal0"/>
        <w:numPr>
          <w:ilvl w:val="0"/>
          <w:numId w:val="6"/>
        </w:numPr>
        <w:ind w:hanging="360"/>
        <w:rPr>
          <w:rFonts w:ascii="Arial" w:eastAsia="Arial" w:hAnsi="Arial" w:cs="Arial"/>
          <w:highlight w:val="white"/>
        </w:rPr>
      </w:pPr>
      <w:r>
        <w:rPr>
          <w:i/>
          <w:highlight w:val="white"/>
        </w:rPr>
        <w:t>Suggestion</w:t>
      </w:r>
      <w:r>
        <w:rPr>
          <w:highlight w:val="white"/>
        </w:rPr>
        <w:t xml:space="preserve">:  Read the article through once, then read it again and annotate the second time around.  </w:t>
      </w:r>
    </w:p>
    <w:p w:rsidR="00AA3115" w:rsidRDefault="00AA3115" w:rsidP="00AA3115">
      <w:pPr>
        <w:pStyle w:val="normal0"/>
        <w:numPr>
          <w:ilvl w:val="1"/>
          <w:numId w:val="6"/>
        </w:numPr>
        <w:ind w:hanging="360"/>
        <w:rPr>
          <w:rFonts w:ascii="Arial" w:eastAsia="Arial" w:hAnsi="Arial" w:cs="Arial"/>
          <w:highlight w:val="white"/>
        </w:rPr>
      </w:pPr>
      <w:r>
        <w:rPr>
          <w:highlight w:val="white"/>
        </w:rPr>
        <w:t xml:space="preserve">At a glance, your copy of the article should look heavily marked.  Up close, your comments and questions should seem sincere and thoughtful.  This is the look of “active reading.” </w:t>
      </w:r>
    </w:p>
    <w:p w:rsidR="00AA3115" w:rsidRDefault="00AA3115" w:rsidP="00AA3115">
      <w:pPr>
        <w:pStyle w:val="normal0"/>
        <w:numPr>
          <w:ilvl w:val="0"/>
          <w:numId w:val="6"/>
        </w:numPr>
        <w:ind w:hanging="360"/>
        <w:rPr>
          <w:rFonts w:ascii="Arial" w:eastAsia="Arial" w:hAnsi="Arial" w:cs="Arial"/>
          <w:highlight w:val="white"/>
        </w:rPr>
      </w:pPr>
      <w:r>
        <w:rPr>
          <w:highlight w:val="white"/>
        </w:rPr>
        <w:t>To annotate:</w:t>
      </w:r>
    </w:p>
    <w:p w:rsidR="00AA3115" w:rsidRDefault="00AA3115" w:rsidP="00AA3115">
      <w:pPr>
        <w:pStyle w:val="normal0"/>
        <w:numPr>
          <w:ilvl w:val="0"/>
          <w:numId w:val="7"/>
        </w:numPr>
        <w:ind w:hanging="360"/>
        <w:rPr>
          <w:rFonts w:ascii="Arial" w:eastAsia="Arial" w:hAnsi="Arial" w:cs="Arial"/>
          <w:highlight w:val="white"/>
        </w:rPr>
      </w:pPr>
      <w:r>
        <w:rPr>
          <w:highlight w:val="white"/>
          <w:u w:val="single"/>
        </w:rPr>
        <w:t>Highlight or underline key words and phrases</w:t>
      </w:r>
      <w:r>
        <w:rPr>
          <w:highlight w:val="white"/>
        </w:rPr>
        <w:t>—anything that strikes you as surprising or important, or that raises questions or confusions should be marked</w:t>
      </w:r>
    </w:p>
    <w:p w:rsidR="00AA3115" w:rsidRDefault="00AA3115" w:rsidP="00AA3115">
      <w:pPr>
        <w:pStyle w:val="normal0"/>
        <w:numPr>
          <w:ilvl w:val="0"/>
          <w:numId w:val="7"/>
        </w:numPr>
        <w:ind w:hanging="360"/>
        <w:rPr>
          <w:rFonts w:ascii="Arial" w:eastAsia="Arial" w:hAnsi="Arial" w:cs="Arial"/>
          <w:highlight w:val="white"/>
        </w:rPr>
      </w:pPr>
      <w:r>
        <w:rPr>
          <w:highlight w:val="white"/>
          <w:u w:val="single"/>
        </w:rPr>
        <w:t xml:space="preserve">Write your thoughts and reactions in the margins next to what you have marked. </w:t>
      </w:r>
    </w:p>
    <w:p w:rsidR="00AA3115" w:rsidRDefault="00AA3115" w:rsidP="00AA3115">
      <w:pPr>
        <w:pStyle w:val="normal0"/>
        <w:numPr>
          <w:ilvl w:val="1"/>
          <w:numId w:val="7"/>
        </w:numPr>
        <w:ind w:hanging="360"/>
        <w:rPr>
          <w:rFonts w:ascii="Arial" w:eastAsia="Arial" w:hAnsi="Arial" w:cs="Arial"/>
          <w:highlight w:val="white"/>
        </w:rPr>
      </w:pPr>
      <w:r>
        <w:rPr>
          <w:highlight w:val="white"/>
        </w:rPr>
        <w:t>Make connections - text-to-self, text-to-world, or text-to-text</w:t>
      </w:r>
    </w:p>
    <w:p w:rsidR="00AA3115" w:rsidRDefault="00AA3115" w:rsidP="00AA3115">
      <w:pPr>
        <w:pStyle w:val="normal0"/>
        <w:numPr>
          <w:ilvl w:val="1"/>
          <w:numId w:val="7"/>
        </w:numPr>
        <w:ind w:hanging="360"/>
        <w:rPr>
          <w:rFonts w:ascii="Arial" w:eastAsia="Arial" w:hAnsi="Arial" w:cs="Arial"/>
          <w:highlight w:val="white"/>
        </w:rPr>
      </w:pPr>
      <w:r>
        <w:rPr>
          <w:highlight w:val="white"/>
        </w:rPr>
        <w:t>Note: Random underlining or highlighting by itself without annotating is coloring, not close reading. You can try using “think marks” like:</w:t>
      </w:r>
    </w:p>
    <w:p w:rsidR="00AA3115" w:rsidRDefault="00AA3115" w:rsidP="00AA3115">
      <w:pPr>
        <w:pStyle w:val="normal0"/>
        <w:numPr>
          <w:ilvl w:val="2"/>
          <w:numId w:val="7"/>
        </w:numPr>
        <w:ind w:hanging="360"/>
        <w:rPr>
          <w:highlight w:val="white"/>
        </w:rPr>
      </w:pPr>
      <w:r>
        <w:rPr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√ </w:t>
      </w:r>
      <w:r>
        <w:t>- “I knew that!”</w:t>
      </w:r>
    </w:p>
    <w:p w:rsidR="00AA3115" w:rsidRDefault="00AA3115" w:rsidP="00AA3115">
      <w:pPr>
        <w:pStyle w:val="normal0"/>
        <w:numPr>
          <w:ilvl w:val="2"/>
          <w:numId w:val="7"/>
        </w:numPr>
        <w:ind w:hanging="360"/>
        <w:rPr>
          <w:highlight w:val="white"/>
        </w:rPr>
      </w:pPr>
      <w:r>
        <w:rPr>
          <w:b/>
          <w:sz w:val="28"/>
          <w:szCs w:val="28"/>
        </w:rPr>
        <w:t xml:space="preserve">? </w:t>
      </w:r>
      <w:r>
        <w:t>- “I don’t get that part”</w:t>
      </w:r>
    </w:p>
    <w:p w:rsidR="00AA3115" w:rsidRDefault="00AA3115" w:rsidP="00AA3115">
      <w:pPr>
        <w:pStyle w:val="normal0"/>
        <w:numPr>
          <w:ilvl w:val="2"/>
          <w:numId w:val="7"/>
        </w:numPr>
        <w:ind w:hanging="360"/>
        <w:rPr>
          <w:highlight w:val="white"/>
        </w:rPr>
      </w:pPr>
      <w:r>
        <w:rPr>
          <w:b/>
          <w:sz w:val="28"/>
          <w:szCs w:val="28"/>
        </w:rPr>
        <w:t>!</w:t>
      </w:r>
      <w:r>
        <w:t xml:space="preserve"> - “That’s surprising/exciting!”</w:t>
      </w:r>
    </w:p>
    <w:p w:rsidR="00AA3115" w:rsidRDefault="00AA3115" w:rsidP="00AA3115">
      <w:pPr>
        <w:pStyle w:val="normal0"/>
        <w:numPr>
          <w:ilvl w:val="2"/>
          <w:numId w:val="7"/>
        </w:numPr>
        <w:ind w:hanging="360"/>
        <w:rPr>
          <w:highlight w:val="white"/>
        </w:rPr>
      </w:pPr>
      <w:r>
        <w:rPr>
          <w:b/>
          <w:sz w:val="28"/>
          <w:szCs w:val="28"/>
        </w:rPr>
        <w:t>*</w:t>
      </w:r>
      <w:r>
        <w:t xml:space="preserve"> - “That is important”</w:t>
      </w:r>
    </w:p>
    <w:p w:rsidR="00AA3115" w:rsidRDefault="00AA3115" w:rsidP="00AA3115">
      <w:pPr>
        <w:pStyle w:val="normal0"/>
        <w:numPr>
          <w:ilvl w:val="0"/>
          <w:numId w:val="7"/>
        </w:numPr>
        <w:ind w:hanging="360"/>
        <w:rPr>
          <w:rFonts w:ascii="Arial" w:eastAsia="Arial" w:hAnsi="Arial" w:cs="Arial"/>
          <w:highlight w:val="white"/>
        </w:rPr>
      </w:pPr>
      <w:r>
        <w:rPr>
          <w:highlight w:val="white"/>
          <w:u w:val="single"/>
        </w:rPr>
        <w:t>Circle words you don’t know and then look them up!  Write down the definition in the margin.</w:t>
      </w:r>
      <w:r>
        <w:rPr>
          <w:highlight w:val="white"/>
        </w:rPr>
        <w:t xml:space="preserve"> Many of these articles are written for a broad readership; a wider vocabulary offers you greater access to the world.</w:t>
      </w: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</w:p>
    <w:p w:rsidR="00EB19BA" w:rsidRDefault="00EB19BA" w:rsidP="00AA3115">
      <w:pPr>
        <w:pStyle w:val="normal0"/>
        <w:contextualSpacing w:val="0"/>
      </w:pPr>
    </w:p>
    <w:p w:rsidR="00EB19BA" w:rsidRDefault="00EB19BA" w:rsidP="00AA3115">
      <w:pPr>
        <w:pStyle w:val="normal0"/>
        <w:contextualSpacing w:val="0"/>
      </w:pP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  <w:r>
        <w:lastRenderedPageBreak/>
        <w:t xml:space="preserve">Once you have annotated the article, create a Google Doc for the </w:t>
      </w:r>
      <w:proofErr w:type="spellStart"/>
      <w:r>
        <w:t>AoW</w:t>
      </w:r>
      <w:proofErr w:type="spellEnd"/>
      <w:r>
        <w:t xml:space="preserve">. Put your heading in the top left corner (name, date, period), </w:t>
      </w:r>
      <w:proofErr w:type="gramStart"/>
      <w:r>
        <w:t>then</w:t>
      </w:r>
      <w:proofErr w:type="gramEnd"/>
      <w:r>
        <w:t xml:space="preserve"> include the title of the article and the author. You will complete steps 2 and 3 on this document; please print the document and attach it to your annotated article.</w:t>
      </w: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</w:p>
    <w:p w:rsidR="00AA3115" w:rsidRPr="001B6D49" w:rsidRDefault="00AA3115" w:rsidP="00AA3115">
      <w:pPr>
        <w:pStyle w:val="normal0"/>
        <w:numPr>
          <w:ilvl w:val="0"/>
          <w:numId w:val="2"/>
        </w:numPr>
        <w:ind w:left="310" w:hanging="360"/>
        <w:rPr>
          <w:i/>
        </w:rPr>
      </w:pPr>
      <w:r>
        <w:t>Step 2: Summary Statement – Write a summary statement for the article (approximately 50 words or less) in which you include:</w:t>
      </w:r>
    </w:p>
    <w:p w:rsidR="00AA3115" w:rsidRPr="001B6D49" w:rsidRDefault="00AA3115" w:rsidP="00AA3115">
      <w:pPr>
        <w:pStyle w:val="normal0"/>
        <w:numPr>
          <w:ilvl w:val="0"/>
          <w:numId w:val="9"/>
        </w:numPr>
        <w:rPr>
          <w:i/>
        </w:rPr>
      </w:pPr>
      <w:r>
        <w:t>The title and author</w:t>
      </w:r>
    </w:p>
    <w:p w:rsidR="00AA3115" w:rsidRPr="00187DA2" w:rsidRDefault="00AA3115" w:rsidP="00AA3115">
      <w:pPr>
        <w:pStyle w:val="normal0"/>
        <w:numPr>
          <w:ilvl w:val="0"/>
          <w:numId w:val="9"/>
        </w:numPr>
        <w:rPr>
          <w:i/>
        </w:rPr>
      </w:pPr>
      <w:r>
        <w:t>A summary verb (</w:t>
      </w:r>
      <w:r w:rsidRPr="00BD1F05">
        <w:rPr>
          <w:b/>
        </w:rPr>
        <w:t>see your objective summary verbs list</w:t>
      </w:r>
      <w:r>
        <w:t xml:space="preserve">) </w:t>
      </w:r>
      <w:r w:rsidRPr="001B6D49">
        <w:rPr>
          <w:u w:val="single"/>
        </w:rPr>
        <w:t>underlined</w:t>
      </w:r>
      <w:r w:rsidR="00187DA2" w:rsidRPr="00187DA2">
        <w:t xml:space="preserve">   Think about the </w:t>
      </w:r>
      <w:r w:rsidR="00187DA2" w:rsidRPr="00187DA2">
        <w:rPr>
          <w:b/>
        </w:rPr>
        <w:t>author’s purpose</w:t>
      </w:r>
      <w:r w:rsidR="00187DA2" w:rsidRPr="00187DA2">
        <w:t xml:space="preserve"> for writing the article.</w:t>
      </w:r>
    </w:p>
    <w:p w:rsidR="00AA3115" w:rsidRDefault="00AA3115" w:rsidP="00AA3115">
      <w:pPr>
        <w:pStyle w:val="normal0"/>
        <w:numPr>
          <w:ilvl w:val="0"/>
          <w:numId w:val="9"/>
        </w:numPr>
        <w:rPr>
          <w:i/>
        </w:rPr>
      </w:pPr>
      <w:r>
        <w:t>The sentence completed with the main idea/main point of the article.</w:t>
      </w:r>
    </w:p>
    <w:p w:rsidR="00AA3115" w:rsidRDefault="00AA3115" w:rsidP="00AA3115">
      <w:pPr>
        <w:pStyle w:val="normal0"/>
        <w:ind w:left="1440"/>
        <w:rPr>
          <w:i/>
        </w:rPr>
      </w:pPr>
    </w:p>
    <w:p w:rsidR="00AA3115" w:rsidRPr="00BD1F05" w:rsidRDefault="00AA3115" w:rsidP="00AA3115">
      <w:pPr>
        <w:pStyle w:val="normal0"/>
        <w:contextualSpacing w:val="0"/>
        <w:rPr>
          <w:rFonts w:ascii="Arial" w:eastAsia="Arial" w:hAnsi="Arial" w:cs="Arial"/>
          <w:b/>
          <w:i/>
          <w:sz w:val="22"/>
          <w:szCs w:val="22"/>
        </w:rPr>
      </w:pPr>
      <w:r w:rsidRPr="001B6D49">
        <w:rPr>
          <w:rFonts w:ascii="Arial" w:eastAsia="Arial" w:hAnsi="Arial" w:cs="Arial"/>
          <w:b/>
          <w:sz w:val="22"/>
          <w:szCs w:val="22"/>
          <w:u w:val="single"/>
        </w:rPr>
        <w:t>Sample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i/>
          <w:sz w:val="22"/>
          <w:szCs w:val="22"/>
        </w:rPr>
        <w:t>The article, “Coming Soon To A Classroom Near You…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RoboRoaches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,”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>explores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a new technology that controls a cockroach with a smart phone and the various uses for this discovery.</w:t>
      </w: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</w:p>
    <w:p w:rsidR="00AA3115" w:rsidRDefault="00AA3115" w:rsidP="00AA3115">
      <w:pPr>
        <w:pStyle w:val="normal0"/>
        <w:numPr>
          <w:ilvl w:val="0"/>
          <w:numId w:val="5"/>
        </w:numPr>
        <w:ind w:left="310" w:hanging="360"/>
        <w:rPr>
          <w:rFonts w:ascii="Arial" w:eastAsia="Arial" w:hAnsi="Arial" w:cs="Arial"/>
        </w:rPr>
      </w:pPr>
      <w:r>
        <w:t xml:space="preserve">Step 3: </w:t>
      </w:r>
      <w:proofErr w:type="spellStart"/>
      <w:r>
        <w:t>AoW</w:t>
      </w:r>
      <w:proofErr w:type="spellEnd"/>
      <w:r>
        <w:t xml:space="preserve"> Activity List - </w:t>
      </w:r>
      <w:r w:rsidRPr="00BD1F05">
        <w:rPr>
          <w:b/>
          <w:u w:val="single"/>
        </w:rPr>
        <w:t>Choose one</w:t>
      </w:r>
      <w:r>
        <w:t xml:space="preserve"> of the following activities and complete it on the same document as your Summary Statement:</w:t>
      </w: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</w:p>
    <w:p w:rsidR="00AA3115" w:rsidRDefault="00AA3115" w:rsidP="00AA3115">
      <w:pPr>
        <w:pStyle w:val="normal0"/>
        <w:numPr>
          <w:ilvl w:val="0"/>
          <w:numId w:val="8"/>
        </w:numPr>
        <w:ind w:hanging="360"/>
        <w:rPr>
          <w:rFonts w:ascii="Arial" w:eastAsia="Arial" w:hAnsi="Arial" w:cs="Arial"/>
        </w:rPr>
      </w:pPr>
      <w:r>
        <w:t xml:space="preserve">Choose 3 interesting quotes or passages from this week’s article and write a </w:t>
      </w:r>
      <w:r w:rsidRPr="00665308">
        <w:rPr>
          <w:b/>
        </w:rPr>
        <w:t>2 to 3</w:t>
      </w:r>
      <w:r>
        <w:t xml:space="preserve"> </w:t>
      </w:r>
      <w:r w:rsidRPr="00665308">
        <w:rPr>
          <w:b/>
        </w:rPr>
        <w:t>sentence</w:t>
      </w:r>
      <w:r>
        <w:t xml:space="preserve"> </w:t>
      </w:r>
      <w:r w:rsidRPr="00665308">
        <w:rPr>
          <w:b/>
        </w:rPr>
        <w:t>reflection</w:t>
      </w:r>
      <w:r>
        <w:t xml:space="preserve"> for each in which you explain their meaning and/or importance.</w:t>
      </w:r>
    </w:p>
    <w:p w:rsidR="00AA3115" w:rsidRDefault="00AA3115" w:rsidP="00AA3115">
      <w:pPr>
        <w:pStyle w:val="normal0"/>
        <w:numPr>
          <w:ilvl w:val="0"/>
          <w:numId w:val="8"/>
        </w:numPr>
        <w:ind w:hanging="360"/>
        <w:rPr>
          <w:rFonts w:ascii="Arial" w:eastAsia="Arial" w:hAnsi="Arial" w:cs="Arial"/>
        </w:rPr>
      </w:pPr>
      <w:r>
        <w:t xml:space="preserve">Write down </w:t>
      </w:r>
      <w:r w:rsidRPr="00665308">
        <w:rPr>
          <w:b/>
        </w:rPr>
        <w:t>5 things you learned</w:t>
      </w:r>
      <w:r>
        <w:t xml:space="preserve"> by reading this week’s article.  Which of these 5 do you think is the most important to know? </w:t>
      </w:r>
      <w:r w:rsidRPr="00665308">
        <w:rPr>
          <w:u w:val="single"/>
        </w:rPr>
        <w:t xml:space="preserve">Explain </w:t>
      </w:r>
      <w:r>
        <w:t>in</w:t>
      </w:r>
      <w:r>
        <w:rPr>
          <w:b/>
        </w:rPr>
        <w:t xml:space="preserve"> a well -written paragraph</w:t>
      </w:r>
      <w:r>
        <w:t>.</w:t>
      </w:r>
    </w:p>
    <w:p w:rsidR="00AA3115" w:rsidRDefault="00AA3115" w:rsidP="00AA3115">
      <w:pPr>
        <w:pStyle w:val="normal0"/>
        <w:numPr>
          <w:ilvl w:val="0"/>
          <w:numId w:val="8"/>
        </w:numPr>
        <w:ind w:hanging="360"/>
        <w:rPr>
          <w:rFonts w:ascii="Arial" w:eastAsia="Arial" w:hAnsi="Arial" w:cs="Arial"/>
        </w:rPr>
      </w:pPr>
      <w:r w:rsidRPr="00665308">
        <w:rPr>
          <w:u w:val="single"/>
        </w:rPr>
        <w:t xml:space="preserve">Choose </w:t>
      </w:r>
      <w:r w:rsidRPr="00665308">
        <w:rPr>
          <w:b/>
          <w:u w:val="single"/>
        </w:rPr>
        <w:t>3</w:t>
      </w:r>
      <w:r w:rsidRPr="00665308">
        <w:rPr>
          <w:b/>
        </w:rPr>
        <w:t xml:space="preserve"> </w:t>
      </w:r>
      <w:r>
        <w:t xml:space="preserve">of the following sentence starters and </w:t>
      </w:r>
      <w:r w:rsidRPr="00665308">
        <w:rPr>
          <w:b/>
        </w:rPr>
        <w:t>write a brief 2-3 sentence reflection for each</w:t>
      </w:r>
      <w:r>
        <w:t>:</w:t>
      </w:r>
    </w:p>
    <w:p w:rsidR="00AA3115" w:rsidRDefault="00AA3115" w:rsidP="00AA3115">
      <w:pPr>
        <w:pStyle w:val="normal0"/>
        <w:ind w:left="1440"/>
        <w:contextualSpacing w:val="0"/>
        <w:rPr>
          <w:rFonts w:ascii="Arial" w:eastAsia="Arial" w:hAnsi="Arial" w:cs="Arial"/>
          <w:sz w:val="22"/>
          <w:szCs w:val="22"/>
        </w:rPr>
      </w:pPr>
      <w:r>
        <w:t xml:space="preserve">I </w:t>
      </w:r>
      <w:proofErr w:type="gramStart"/>
      <w:r>
        <w:t>noticed.</w:t>
      </w:r>
      <w:proofErr w:type="gramEnd"/>
      <w:r>
        <w:t xml:space="preserve"> . . </w:t>
      </w:r>
      <w:r>
        <w:tab/>
      </w:r>
      <w:r>
        <w:tab/>
      </w:r>
      <w:r>
        <w:tab/>
      </w:r>
      <w:r>
        <w:tab/>
        <w:t xml:space="preserve">If I </w:t>
      </w:r>
      <w:proofErr w:type="gramStart"/>
      <w:r>
        <w:t>were.</w:t>
      </w:r>
      <w:proofErr w:type="gramEnd"/>
      <w:r>
        <w:t xml:space="preserve"> . .</w:t>
      </w:r>
    </w:p>
    <w:p w:rsidR="00AA3115" w:rsidRDefault="00AA3115" w:rsidP="00AA3115">
      <w:pPr>
        <w:pStyle w:val="normal0"/>
        <w:ind w:left="1440"/>
        <w:contextualSpacing w:val="0"/>
        <w:rPr>
          <w:rFonts w:ascii="Arial" w:eastAsia="Arial" w:hAnsi="Arial" w:cs="Arial"/>
          <w:sz w:val="22"/>
          <w:szCs w:val="22"/>
        </w:rPr>
      </w:pPr>
      <w:r>
        <w:t xml:space="preserve">I wonder why . . . </w:t>
      </w:r>
      <w:r>
        <w:tab/>
      </w:r>
      <w:r>
        <w:tab/>
      </w:r>
      <w:r>
        <w:tab/>
        <w:t xml:space="preserve">I still don’t </w:t>
      </w:r>
      <w:proofErr w:type="gramStart"/>
      <w:r>
        <w:t>understand.</w:t>
      </w:r>
      <w:proofErr w:type="gramEnd"/>
      <w:r>
        <w:t xml:space="preserve"> . .</w:t>
      </w:r>
    </w:p>
    <w:p w:rsidR="00AA3115" w:rsidRDefault="00AA3115" w:rsidP="00AA3115">
      <w:pPr>
        <w:pStyle w:val="normal0"/>
        <w:ind w:left="1440"/>
        <w:contextualSpacing w:val="0"/>
        <w:rPr>
          <w:rFonts w:ascii="Arial" w:eastAsia="Arial" w:hAnsi="Arial" w:cs="Arial"/>
          <w:sz w:val="22"/>
          <w:szCs w:val="22"/>
        </w:rPr>
      </w:pPr>
      <w:r>
        <w:t xml:space="preserve">I was reminded of . . . </w:t>
      </w:r>
      <w:r>
        <w:tab/>
      </w:r>
      <w:r>
        <w:tab/>
      </w:r>
      <w:r>
        <w:tab/>
        <w:t>What interested me most was…</w:t>
      </w:r>
    </w:p>
    <w:p w:rsidR="00AA3115" w:rsidRDefault="00AA3115" w:rsidP="00AA3115">
      <w:pPr>
        <w:pStyle w:val="normal0"/>
        <w:ind w:left="1440"/>
        <w:contextualSpacing w:val="0"/>
        <w:rPr>
          <w:rFonts w:ascii="Arial" w:eastAsia="Arial" w:hAnsi="Arial" w:cs="Arial"/>
          <w:sz w:val="22"/>
          <w:szCs w:val="22"/>
        </w:rPr>
      </w:pPr>
      <w:r>
        <w:t xml:space="preserve">I am surprised </w:t>
      </w:r>
      <w:proofErr w:type="gramStart"/>
      <w:r>
        <w:t>that.</w:t>
      </w:r>
      <w:proofErr w:type="gramEnd"/>
      <w:r>
        <w:t xml:space="preserve"> . .</w:t>
      </w:r>
      <w:r>
        <w:tab/>
      </w:r>
      <w:r>
        <w:tab/>
      </w:r>
      <w:r>
        <w:tab/>
        <w:t xml:space="preserve">I can relate to this </w:t>
      </w:r>
      <w:proofErr w:type="gramStart"/>
      <w:r>
        <w:t>because.</w:t>
      </w:r>
      <w:proofErr w:type="gramEnd"/>
      <w:r>
        <w:t xml:space="preserve"> . .</w:t>
      </w:r>
    </w:p>
    <w:p w:rsidR="00AA3115" w:rsidRDefault="00AA3115" w:rsidP="00AA3115">
      <w:pPr>
        <w:pStyle w:val="normal0"/>
        <w:ind w:left="1440"/>
        <w:contextualSpacing w:val="0"/>
        <w:rPr>
          <w:rFonts w:ascii="Arial" w:eastAsia="Arial" w:hAnsi="Arial" w:cs="Arial"/>
          <w:sz w:val="22"/>
          <w:szCs w:val="22"/>
        </w:rPr>
      </w:pPr>
      <w:r>
        <w:t xml:space="preserve">I’d like to </w:t>
      </w:r>
      <w:proofErr w:type="gramStart"/>
      <w:r>
        <w:t>know.</w:t>
      </w:r>
      <w:proofErr w:type="gramEnd"/>
      <w:r>
        <w:t xml:space="preserve"> . . .</w:t>
      </w:r>
      <w:r>
        <w:tab/>
      </w:r>
      <w:r>
        <w:tab/>
      </w:r>
      <w:r>
        <w:tab/>
        <w:t>This idea/article is similar to...</w:t>
      </w:r>
    </w:p>
    <w:p w:rsidR="00AA3115" w:rsidRDefault="00AA3115" w:rsidP="00AA3115">
      <w:pPr>
        <w:pStyle w:val="normal0"/>
        <w:ind w:left="1440"/>
        <w:contextualSpacing w:val="0"/>
        <w:rPr>
          <w:rFonts w:ascii="Arial" w:eastAsia="Arial" w:hAnsi="Arial" w:cs="Arial"/>
          <w:sz w:val="22"/>
          <w:szCs w:val="22"/>
        </w:rPr>
      </w:pPr>
      <w:r>
        <w:t xml:space="preserve">I </w:t>
      </w:r>
      <w:proofErr w:type="gramStart"/>
      <w:r>
        <w:t>realized.</w:t>
      </w:r>
      <w:proofErr w:type="gramEnd"/>
      <w:r>
        <w:t xml:space="preserve"> . 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</w:p>
    <w:p w:rsidR="00AA3115" w:rsidRDefault="00AA3115" w:rsidP="00AA3115">
      <w:pPr>
        <w:pStyle w:val="normal0"/>
        <w:contextualSpacing w:val="0"/>
        <w:rPr>
          <w:rFonts w:ascii="Arial" w:eastAsia="Arial" w:hAnsi="Arial" w:cs="Arial"/>
          <w:sz w:val="22"/>
          <w:szCs w:val="22"/>
        </w:rPr>
      </w:pPr>
      <w:r>
        <w:rPr>
          <w:b/>
          <w:i/>
          <w:u w:val="single"/>
        </w:rPr>
        <w:t>IMPORTANT</w:t>
      </w:r>
    </w:p>
    <w:p w:rsidR="00AA3115" w:rsidRDefault="00AA3115" w:rsidP="00AA3115">
      <w:pPr>
        <w:pStyle w:val="normal0"/>
        <w:numPr>
          <w:ilvl w:val="0"/>
          <w:numId w:val="3"/>
        </w:numPr>
        <w:ind w:hanging="360"/>
        <w:rPr>
          <w:rFonts w:ascii="Arial" w:eastAsia="Arial" w:hAnsi="Arial" w:cs="Arial"/>
        </w:rPr>
      </w:pPr>
      <w:r>
        <w:t xml:space="preserve">If you are absent on Monday, the </w:t>
      </w:r>
      <w:proofErr w:type="spellStart"/>
      <w:r>
        <w:t>AoW</w:t>
      </w:r>
      <w:proofErr w:type="spellEnd"/>
      <w:r>
        <w:t xml:space="preserve"> will </w:t>
      </w:r>
      <w:r>
        <w:rPr>
          <w:u w:val="single"/>
        </w:rPr>
        <w:t>always</w:t>
      </w:r>
      <w:r>
        <w:t xml:space="preserve"> be posted on my website. Print it and get to work!</w:t>
      </w:r>
    </w:p>
    <w:p w:rsidR="00AA3115" w:rsidRDefault="00AA3115" w:rsidP="00AA3115">
      <w:pPr>
        <w:pStyle w:val="normal0"/>
        <w:numPr>
          <w:ilvl w:val="0"/>
          <w:numId w:val="3"/>
        </w:numPr>
        <w:ind w:hanging="360"/>
        <w:rPr>
          <w:rFonts w:ascii="Arial" w:eastAsia="Arial" w:hAnsi="Arial" w:cs="Arial"/>
        </w:rPr>
      </w:pPr>
      <w:r>
        <w:t xml:space="preserve">Your work is due </w:t>
      </w:r>
      <w:proofErr w:type="gramStart"/>
      <w:r>
        <w:t xml:space="preserve">on </w:t>
      </w:r>
      <w:r w:rsidR="00187DA2">
        <w:t xml:space="preserve"> the</w:t>
      </w:r>
      <w:proofErr w:type="gramEnd"/>
      <w:r w:rsidR="00187DA2">
        <w:t xml:space="preserve"> following Monday </w:t>
      </w:r>
      <w:r>
        <w:rPr>
          <w:b/>
          <w:u w:val="single"/>
        </w:rPr>
        <w:t>no matter what</w:t>
      </w:r>
      <w:r>
        <w:t>.</w:t>
      </w:r>
    </w:p>
    <w:p w:rsidR="00AA3115" w:rsidRDefault="00AA3115" w:rsidP="00AA3115">
      <w:pPr>
        <w:pStyle w:val="normal0"/>
        <w:numPr>
          <w:ilvl w:val="0"/>
          <w:numId w:val="3"/>
        </w:numPr>
        <w:ind w:hanging="360"/>
        <w:rPr>
          <w:rFonts w:ascii="Arial" w:eastAsia="Arial" w:hAnsi="Arial" w:cs="Arial"/>
        </w:rPr>
      </w:pPr>
      <w:r>
        <w:t xml:space="preserve">Your </w:t>
      </w:r>
      <w:proofErr w:type="spellStart"/>
      <w:r>
        <w:t>AoW</w:t>
      </w:r>
      <w:proofErr w:type="spellEnd"/>
      <w:r>
        <w:t xml:space="preserve"> is due when class starts. You may not print your work during class.</w:t>
      </w:r>
    </w:p>
    <w:p w:rsidR="00AA3115" w:rsidRDefault="00AA3115" w:rsidP="00AA3115">
      <w:pPr>
        <w:pStyle w:val="normal0"/>
        <w:numPr>
          <w:ilvl w:val="0"/>
          <w:numId w:val="3"/>
        </w:numPr>
        <w:ind w:hanging="360"/>
      </w:pPr>
      <w:r>
        <w:t xml:space="preserve">I do not accept </w:t>
      </w:r>
      <w:proofErr w:type="spellStart"/>
      <w:r>
        <w:t>AoWs</w:t>
      </w:r>
      <w:proofErr w:type="spellEnd"/>
      <w:r>
        <w:t xml:space="preserve"> late.</w:t>
      </w:r>
    </w:p>
    <w:p w:rsidR="0077461B" w:rsidRDefault="0077461B"/>
    <w:sectPr w:rsidR="0077461B">
      <w:footerReference w:type="default" r:id="rId8"/>
      <w:pgSz w:w="12240" w:h="15840"/>
      <w:pgMar w:top="1008" w:right="863" w:bottom="1008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CB" w:rsidRDefault="008012CB" w:rsidP="008012CB">
      <w:pPr>
        <w:spacing w:line="240" w:lineRule="auto"/>
      </w:pPr>
      <w:r>
        <w:separator/>
      </w:r>
    </w:p>
  </w:endnote>
  <w:endnote w:type="continuationSeparator" w:id="0">
    <w:p w:rsidR="008012CB" w:rsidRDefault="008012CB" w:rsidP="00801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chitects Daughte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49" w:rsidRDefault="004F36AB">
    <w:pPr>
      <w:pStyle w:val="normal0"/>
      <w:contextualSpacing w:val="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CB" w:rsidRDefault="008012CB" w:rsidP="008012CB">
      <w:pPr>
        <w:spacing w:line="240" w:lineRule="auto"/>
      </w:pPr>
      <w:r>
        <w:separator/>
      </w:r>
    </w:p>
  </w:footnote>
  <w:footnote w:type="continuationSeparator" w:id="0">
    <w:p w:rsidR="008012CB" w:rsidRDefault="008012CB" w:rsidP="008012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47A"/>
    <w:multiLevelType w:val="multilevel"/>
    <w:tmpl w:val="C00E87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87C7ADD"/>
    <w:multiLevelType w:val="multilevel"/>
    <w:tmpl w:val="A986FC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4162648"/>
    <w:multiLevelType w:val="multilevel"/>
    <w:tmpl w:val="A9444400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9570698"/>
    <w:multiLevelType w:val="multilevel"/>
    <w:tmpl w:val="61D80E74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4836D9B"/>
    <w:multiLevelType w:val="multilevel"/>
    <w:tmpl w:val="3B1ABE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E1451E3"/>
    <w:multiLevelType w:val="multilevel"/>
    <w:tmpl w:val="8A7C1D64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6">
    <w:nsid w:val="74C87E8B"/>
    <w:multiLevelType w:val="multilevel"/>
    <w:tmpl w:val="F696707C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5A20EA8"/>
    <w:multiLevelType w:val="multilevel"/>
    <w:tmpl w:val="C5C0D1C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nsid w:val="7D3077F8"/>
    <w:multiLevelType w:val="hybridMultilevel"/>
    <w:tmpl w:val="5E626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15"/>
    <w:rsid w:val="00187DA2"/>
    <w:rsid w:val="004F36AB"/>
    <w:rsid w:val="0077461B"/>
    <w:rsid w:val="008012CB"/>
    <w:rsid w:val="00AA3115"/>
    <w:rsid w:val="00AF6F52"/>
    <w:rsid w:val="00C50099"/>
    <w:rsid w:val="00E6402B"/>
    <w:rsid w:val="00E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15"/>
    <w:pPr>
      <w:widowControl w:val="0"/>
      <w:spacing w:line="276" w:lineRule="auto"/>
      <w:contextualSpacing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3115"/>
    <w:pPr>
      <w:widowControl w:val="0"/>
      <w:spacing w:line="276" w:lineRule="auto"/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12C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2CB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12C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CB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15"/>
    <w:pPr>
      <w:widowControl w:val="0"/>
      <w:spacing w:line="276" w:lineRule="auto"/>
      <w:contextualSpacing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A3115"/>
    <w:pPr>
      <w:widowControl w:val="0"/>
      <w:spacing w:line="276" w:lineRule="auto"/>
      <w:contextualSpacing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12C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2CB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12C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C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3443</Characters>
  <Application>Microsoft Macintosh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Heffler</cp:lastModifiedBy>
  <cp:revision>2</cp:revision>
  <dcterms:created xsi:type="dcterms:W3CDTF">2015-08-27T00:30:00Z</dcterms:created>
  <dcterms:modified xsi:type="dcterms:W3CDTF">2015-08-27T00:30:00Z</dcterms:modified>
</cp:coreProperties>
</file>